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858DE" w14:textId="136CF707" w:rsidR="00334C19" w:rsidRDefault="00334C19" w:rsidP="004F6310">
      <w:pPr>
        <w:pStyle w:val="Title"/>
      </w:pPr>
      <w:r>
        <w:t xml:space="preserve">This is </w:t>
      </w:r>
      <w:r w:rsidR="009514AB">
        <w:t>PTCMW</w:t>
      </w:r>
      <w:r>
        <w:t xml:space="preserve">: Or Some </w:t>
      </w:r>
      <w:r w:rsidR="009514AB">
        <w:t xml:space="preserve">Reflections, After Reminiscing About </w:t>
      </w:r>
      <w:r>
        <w:t>SIO</w:t>
      </w:r>
      <w:r w:rsidR="009514AB">
        <w:t xml:space="preserve">P, On Our </w:t>
      </w:r>
      <w:r>
        <w:t xml:space="preserve">Membership  </w:t>
      </w:r>
    </w:p>
    <w:p w14:paraId="312605B4" w14:textId="78C97EF3" w:rsidR="00AC027A" w:rsidRDefault="004E48FC" w:rsidP="004E48FC">
      <w:r>
        <w:t>Today</w:t>
      </w:r>
      <w:r w:rsidR="00C76B96">
        <w:t>,</w:t>
      </w:r>
      <w:r>
        <w:t xml:space="preserve"> we’re explor</w:t>
      </w:r>
      <w:r w:rsidR="00C76B96">
        <w:t>ing</w:t>
      </w:r>
      <w:r>
        <w:t xml:space="preserve"> where current </w:t>
      </w:r>
      <w:r w:rsidR="009514AB">
        <w:t>PTCMW</w:t>
      </w:r>
      <w:r>
        <w:t xml:space="preserve"> membership stands.</w:t>
      </w:r>
      <w:r w:rsidR="000D7ECA">
        <w:t xml:space="preserve"> That’s you</w:t>
      </w:r>
      <w:r w:rsidR="00A203D2">
        <w:t>—w</w:t>
      </w:r>
      <w:r w:rsidR="000D7ECA">
        <w:t>ell, if you’ve paid your dues.</w:t>
      </w:r>
      <w:r w:rsidR="00A203D2">
        <w:t xml:space="preserve"> </w:t>
      </w:r>
      <w:r w:rsidR="00D24127">
        <w:t>W</w:t>
      </w:r>
      <w:r w:rsidR="00A203D2">
        <w:t xml:space="preserve">e’ll also be exploring how our membership compares to SIOP more broadly. </w:t>
      </w:r>
      <w:r w:rsidR="000D7ECA">
        <w:t xml:space="preserve"> In the future, </w:t>
      </w:r>
      <w:r w:rsidR="009514AB">
        <w:t>PTCMW</w:t>
      </w:r>
      <w:r w:rsidR="00F717C3">
        <w:t xml:space="preserve"> will keep an on-going </w:t>
      </w:r>
      <w:r w:rsidR="00AC027A">
        <w:t>m</w:t>
      </w:r>
      <w:r w:rsidR="00F717C3">
        <w:t xml:space="preserve">embership roster, </w:t>
      </w:r>
      <w:r w:rsidR="00F717C3" w:rsidRPr="00B11A5F">
        <w:t xml:space="preserve">investigating </w:t>
      </w:r>
      <w:r w:rsidR="00B11A5F" w:rsidRPr="00B11A5F">
        <w:t>where</w:t>
      </w:r>
      <w:r w:rsidR="00F717C3" w:rsidRPr="00B11A5F">
        <w:t xml:space="preserve"> our members live</w:t>
      </w:r>
      <w:r w:rsidR="00AC027A" w:rsidRPr="00B11A5F">
        <w:t xml:space="preserve"> and </w:t>
      </w:r>
      <w:r w:rsidR="00F717C3" w:rsidRPr="00B11A5F">
        <w:t>work</w:t>
      </w:r>
      <w:r w:rsidR="00AC027A" w:rsidRPr="00B11A5F">
        <w:t>.</w:t>
      </w:r>
      <w:r w:rsidR="00AC027A">
        <w:t xml:space="preserve"> </w:t>
      </w:r>
    </w:p>
    <w:p w14:paraId="1AB5A80E" w14:textId="77777777" w:rsidR="00A0679B" w:rsidRPr="004F6310" w:rsidRDefault="00A0679B" w:rsidP="00A0679B">
      <w:pPr>
        <w:pStyle w:val="Heading2"/>
      </w:pPr>
      <w:r w:rsidRPr="004F6310">
        <w:t>Membership Status</w:t>
      </w:r>
    </w:p>
    <w:p w14:paraId="45FCD683" w14:textId="6E707771" w:rsidR="00494861" w:rsidRPr="009514AB" w:rsidRDefault="00A0679B" w:rsidP="009514AB">
      <w:r w:rsidRPr="00A0679B">
        <w:t xml:space="preserve">Of our 328 total members, 31% </w:t>
      </w:r>
      <w:r>
        <w:t xml:space="preserve">are currently active as student members, with 69% identifying as full professional members. </w:t>
      </w:r>
      <w:r w:rsidR="00494861">
        <w:t>Almost half of our members are doctoral-level (48%), followed by Master’s level (43%), and finally bachelor’s level (9%, who ar</w:t>
      </w:r>
      <w:bookmarkStart w:id="0" w:name="_GoBack"/>
      <w:bookmarkEnd w:id="0"/>
      <w:r w:rsidR="00494861">
        <w:t xml:space="preserve">e primarily current students). </w:t>
      </w:r>
    </w:p>
    <w:p w14:paraId="0FBE26A0" w14:textId="77777777" w:rsidR="00B11A5F" w:rsidRDefault="00B11A5F" w:rsidP="00B11A5F">
      <w:pPr>
        <w:pStyle w:val="Heading2"/>
        <w:jc w:val="center"/>
        <w:rPr>
          <w:i w:val="0"/>
        </w:rPr>
      </w:pPr>
      <w:r w:rsidRPr="00B11A5F">
        <w:rPr>
          <w:i w:val="0"/>
          <w:noProof/>
        </w:rPr>
        <w:drawing>
          <wp:inline distT="0" distB="0" distL="0" distR="0" wp14:anchorId="04355786" wp14:editId="642FF80F">
            <wp:extent cx="3657600" cy="2743200"/>
            <wp:effectExtent l="0" t="0" r="0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CDC8319" w14:textId="2A58D18A" w:rsidR="00A203D2" w:rsidRPr="009514AB" w:rsidRDefault="00494861" w:rsidP="009514AB">
      <w:r w:rsidRPr="00494861">
        <w:t xml:space="preserve">First, </w:t>
      </w:r>
      <w:r>
        <w:t xml:space="preserve">in comparison to </w:t>
      </w:r>
      <w:r w:rsidRPr="00494861">
        <w:t>SIOP’s membership</w:t>
      </w:r>
      <w:r>
        <w:t xml:space="preserve">, it is worth noting that </w:t>
      </w:r>
      <w:r w:rsidR="009514AB">
        <w:t>PTCMW</w:t>
      </w:r>
      <w:r>
        <w:t xml:space="preserve"> </w:t>
      </w:r>
      <w:r w:rsidRPr="00494861">
        <w:t xml:space="preserve">is </w:t>
      </w:r>
      <w:r>
        <w:t xml:space="preserve">in fact </w:t>
      </w:r>
      <w:r w:rsidRPr="00494861">
        <w:t>smaller</w:t>
      </w:r>
      <w:r w:rsidRPr="009514AB">
        <w:rPr>
          <w:vertAlign w:val="superscript"/>
        </w:rPr>
        <w:t>1</w:t>
      </w:r>
      <w:r>
        <w:t>. Although SIOP demarcates more types of membership (i.e., retired, associate, and fellow)</w:t>
      </w:r>
      <w:r w:rsidR="00082BAB">
        <w:t xml:space="preserve"> than </w:t>
      </w:r>
      <w:r w:rsidR="009514AB">
        <w:t>PTCMW</w:t>
      </w:r>
      <w:r w:rsidR="00082BAB">
        <w:t>, there was no significant difference between the proportion of student members and professional memberships between these two organizations (</w:t>
      </w:r>
      <w:r w:rsidR="00082BAB" w:rsidRPr="00082BAB">
        <w:t>z</w:t>
      </w:r>
      <w:r w:rsidR="00082BAB">
        <w:t xml:space="preserve"> =</w:t>
      </w:r>
      <w:r w:rsidR="00082BAB" w:rsidRPr="00082BAB">
        <w:t>-1.1</w:t>
      </w:r>
      <w:r w:rsidR="00082BAB">
        <w:t>3</w:t>
      </w:r>
      <w:r w:rsidR="00082BAB" w:rsidRPr="00082BAB">
        <w:t>, p = .26)</w:t>
      </w:r>
      <w:r w:rsidR="00082BAB">
        <w:t xml:space="preserve">. SIOP’s 2018 Membership Survey reported 28% of members were student compared to </w:t>
      </w:r>
      <w:r w:rsidR="009514AB">
        <w:t>PTCMW</w:t>
      </w:r>
      <w:r w:rsidR="00082BAB">
        <w:t>’s 31% student members.</w:t>
      </w:r>
    </w:p>
    <w:p w14:paraId="029E07B0" w14:textId="0A6EC549" w:rsidR="00B11A5F" w:rsidRPr="00B11A5F" w:rsidRDefault="009514AB" w:rsidP="00B11A5F">
      <w:r>
        <w:t>PTCMW</w:t>
      </w:r>
      <w:r w:rsidR="00B11A5F">
        <w:t xml:space="preserve"> and SIOP did diverge in terms of the education-level of its members. SIOP reports 58% of its members at the doctoral-level, significantly more than </w:t>
      </w:r>
      <w:r>
        <w:t>PTCMW</w:t>
      </w:r>
      <w:r w:rsidR="00B11A5F">
        <w:t xml:space="preserve"> </w:t>
      </w:r>
      <w:r w:rsidR="00B11A5F" w:rsidRPr="00B11A5F">
        <w:t>(</w:t>
      </w:r>
      <w:r w:rsidR="00B11A5F" w:rsidRPr="00B11A5F">
        <w:rPr>
          <w:i/>
        </w:rPr>
        <w:t>z</w:t>
      </w:r>
      <w:r w:rsidR="00B11A5F" w:rsidRPr="00B11A5F">
        <w:t xml:space="preserve"> =</w:t>
      </w:r>
      <w:r w:rsidR="00B11A5F">
        <w:t xml:space="preserve"> </w:t>
      </w:r>
      <w:r w:rsidR="00B11A5F" w:rsidRPr="00B11A5F">
        <w:t xml:space="preserve">3.52, </w:t>
      </w:r>
      <w:r w:rsidR="00B11A5F" w:rsidRPr="00B11A5F">
        <w:rPr>
          <w:i/>
        </w:rPr>
        <w:t>p</w:t>
      </w:r>
      <w:r w:rsidR="00B11A5F" w:rsidRPr="00B11A5F">
        <w:t xml:space="preserve"> &lt; .01)</w:t>
      </w:r>
      <w:r w:rsidR="00B11A5F">
        <w:t xml:space="preserve">; and only 30% of its members at the master’s-level, significantly less than </w:t>
      </w:r>
      <w:r>
        <w:t>PTCMW</w:t>
      </w:r>
      <w:r w:rsidR="00B11A5F">
        <w:t xml:space="preserve"> </w:t>
      </w:r>
      <w:r w:rsidR="00B11A5F" w:rsidRPr="00B11A5F">
        <w:t>(</w:t>
      </w:r>
      <w:r w:rsidR="00B11A5F" w:rsidRPr="00B11A5F">
        <w:rPr>
          <w:i/>
        </w:rPr>
        <w:t>z</w:t>
      </w:r>
      <w:r w:rsidR="00B11A5F" w:rsidRPr="00B11A5F">
        <w:t xml:space="preserve"> =</w:t>
      </w:r>
      <w:r w:rsidR="00B11A5F">
        <w:t xml:space="preserve"> -4.09</w:t>
      </w:r>
      <w:r w:rsidR="00B11A5F" w:rsidRPr="00B11A5F">
        <w:t xml:space="preserve">, </w:t>
      </w:r>
      <w:r w:rsidR="00B11A5F" w:rsidRPr="00B11A5F">
        <w:rPr>
          <w:i/>
        </w:rPr>
        <w:t>p</w:t>
      </w:r>
      <w:r w:rsidR="00B11A5F" w:rsidRPr="00B11A5F">
        <w:t xml:space="preserve"> &lt; .01)</w:t>
      </w:r>
      <w:r w:rsidR="00B11A5F">
        <w:t>.</w:t>
      </w:r>
    </w:p>
    <w:p w14:paraId="0399A7DC" w14:textId="77777777" w:rsidR="00AB4EA4" w:rsidRDefault="00AB4EA4" w:rsidP="00AB4EA4">
      <w:pPr>
        <w:pStyle w:val="Heading2"/>
      </w:pPr>
      <w:r>
        <w:t>Where Members Live</w:t>
      </w:r>
    </w:p>
    <w:p w14:paraId="38C949E3" w14:textId="53DAB465" w:rsidR="00F572EB" w:rsidRDefault="002E564E" w:rsidP="00F572EB">
      <w:r>
        <w:t xml:space="preserve">Perhaps not surprisingly, the bulk of our membership </w:t>
      </w:r>
      <w:r w:rsidR="00206089">
        <w:t xml:space="preserve">(90%) </w:t>
      </w:r>
      <w:r>
        <w:t xml:space="preserve">lives </w:t>
      </w:r>
      <w:r w:rsidR="00206089">
        <w:t>in Washington, DC (25%), Maryland (15%), and Virginia (50%).</w:t>
      </w:r>
      <w:r>
        <w:t xml:space="preserve"> </w:t>
      </w:r>
      <w:r w:rsidR="00F572EB" w:rsidRPr="00F572EB">
        <w:t>And while we appreciate our more remote colleagues in the Northeast, Midwest, Southeast, Southwest, and West</w:t>
      </w:r>
      <w:r w:rsidR="00206089">
        <w:t>—</w:t>
      </w:r>
      <w:r w:rsidR="00F572EB" w:rsidRPr="00F572EB">
        <w:t>this</w:t>
      </w:r>
      <w:r w:rsidR="00206089">
        <w:t xml:space="preserve"> </w:t>
      </w:r>
      <w:r w:rsidR="00F572EB" w:rsidRPr="00F572EB">
        <w:t>pie c</w:t>
      </w:r>
      <w:r w:rsidR="00206089">
        <w:t xml:space="preserve">hart ran out of </w:t>
      </w:r>
      <w:r w:rsidR="009514AB">
        <w:t>PTCMW</w:t>
      </w:r>
      <w:r w:rsidR="00206089">
        <w:t xml:space="preserve"> </w:t>
      </w:r>
      <w:r w:rsidR="00206089">
        <w:lastRenderedPageBreak/>
        <w:t xml:space="preserve">brand colors, so they’re </w:t>
      </w:r>
      <w:r w:rsidR="00F572EB" w:rsidRPr="00F572EB">
        <w:t>ingloriously l</w:t>
      </w:r>
      <w:r w:rsidR="00206089">
        <w:t>abeled as</w:t>
      </w:r>
      <w:r w:rsidR="00F572EB" w:rsidRPr="00F572EB">
        <w:t xml:space="preserve"> </w:t>
      </w:r>
      <w:r w:rsidR="00A203D2">
        <w:t>“Other”</w:t>
      </w:r>
      <w:r w:rsidR="00206089">
        <w:t xml:space="preserve"> (10%)</w:t>
      </w:r>
      <w:r w:rsidR="00F572EB" w:rsidRPr="00F572EB">
        <w:t>.</w:t>
      </w:r>
      <w:r w:rsidR="00F572EB">
        <w:t xml:space="preserve"> Sorry</w:t>
      </w:r>
      <w:r w:rsidR="00F717C3">
        <w:t xml:space="preserve"> to</w:t>
      </w:r>
      <w:r w:rsidR="00F572EB">
        <w:t xml:space="preserve"> </w:t>
      </w:r>
      <w:proofErr w:type="spellStart"/>
      <w:r w:rsidR="00F572EB">
        <w:t>y’all</w:t>
      </w:r>
      <w:proofErr w:type="spellEnd"/>
      <w:r w:rsidR="00F572EB">
        <w:t xml:space="preserve">, </w:t>
      </w:r>
      <w:proofErr w:type="spellStart"/>
      <w:r w:rsidR="00F572EB">
        <w:t>yinz</w:t>
      </w:r>
      <w:proofErr w:type="spellEnd"/>
      <w:r w:rsidR="00F572EB">
        <w:t xml:space="preserve">, and </w:t>
      </w:r>
      <w:proofErr w:type="spellStart"/>
      <w:r w:rsidR="00F572EB">
        <w:t>youse</w:t>
      </w:r>
      <w:proofErr w:type="spellEnd"/>
      <w:r w:rsidR="00F572EB">
        <w:t xml:space="preserve"> guys</w:t>
      </w:r>
      <w:r w:rsidR="009514AB" w:rsidRPr="009514AB">
        <w:rPr>
          <w:vertAlign w:val="superscript"/>
        </w:rPr>
        <w:t>2</w:t>
      </w:r>
      <w:r w:rsidR="00F572EB">
        <w:t>.</w:t>
      </w:r>
    </w:p>
    <w:p w14:paraId="08475BF7" w14:textId="77777777" w:rsidR="009514AB" w:rsidRDefault="009514AB" w:rsidP="00F572EB"/>
    <w:p w14:paraId="1D246552" w14:textId="49B84542" w:rsidR="00AC027A" w:rsidRDefault="00206089" w:rsidP="00206089">
      <w:pPr>
        <w:jc w:val="center"/>
      </w:pPr>
      <w:r w:rsidRPr="00206089">
        <w:rPr>
          <w:noProof/>
        </w:rPr>
        <w:drawing>
          <wp:inline distT="0" distB="0" distL="0" distR="0" wp14:anchorId="6B1B4EF6" wp14:editId="11B11DD8">
            <wp:extent cx="2852582" cy="1916906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D45D0C4" w14:textId="77777777" w:rsidR="009514AB" w:rsidRPr="00F572EB" w:rsidRDefault="009514AB" w:rsidP="00206089">
      <w:pPr>
        <w:jc w:val="center"/>
      </w:pPr>
    </w:p>
    <w:p w14:paraId="184FB982" w14:textId="77777777" w:rsidR="00AB4EA4" w:rsidRDefault="00F572EB" w:rsidP="00AB4EA4">
      <w:pPr>
        <w:pStyle w:val="Heading2"/>
      </w:pPr>
      <w:r>
        <w:t xml:space="preserve">Organizational Status: </w:t>
      </w:r>
      <w:r w:rsidR="00AB4EA4">
        <w:t>Where Members Work</w:t>
      </w:r>
    </w:p>
    <w:p w14:paraId="458C64FA" w14:textId="7D5A43B0" w:rsidR="00D0205E" w:rsidRDefault="00206089" w:rsidP="00D0205E">
      <w:r>
        <w:t>Of our members,</w:t>
      </w:r>
      <w:r w:rsidR="00AB4EA4" w:rsidRPr="00AB4EA4">
        <w:t xml:space="preserve"> </w:t>
      </w:r>
      <w:r w:rsidR="009514AB">
        <w:t>PTCMW</w:t>
      </w:r>
      <w:r>
        <w:t xml:space="preserve"> has t</w:t>
      </w:r>
      <w:r w:rsidRPr="00AB4EA4">
        <w:t>raditionally</w:t>
      </w:r>
      <w:r>
        <w:t xml:space="preserve"> broken down our members’ organizations thusly: </w:t>
      </w:r>
      <w:r w:rsidR="00CE5A15" w:rsidRPr="00AB4EA4">
        <w:t>Academia</w:t>
      </w:r>
      <w:r w:rsidR="00CE5A15">
        <w:t xml:space="preserve"> (35%)</w:t>
      </w:r>
      <w:r w:rsidR="00CE5A15" w:rsidRPr="00AB4EA4">
        <w:t>, Consulting Firm</w:t>
      </w:r>
      <w:r w:rsidR="00CE5A15">
        <w:t xml:space="preserve"> (30%)</w:t>
      </w:r>
      <w:r w:rsidR="00CE5A15" w:rsidRPr="00AB4EA4">
        <w:t>,</w:t>
      </w:r>
      <w:r w:rsidR="00CE5A15">
        <w:t xml:space="preserve"> </w:t>
      </w:r>
      <w:r w:rsidR="00CE5A15" w:rsidRPr="00AB4EA4">
        <w:t>Federal Government</w:t>
      </w:r>
      <w:r w:rsidR="00CE5A15">
        <w:t xml:space="preserve"> (20%), </w:t>
      </w:r>
      <w:r w:rsidR="00CE5A15" w:rsidRPr="00AB4EA4">
        <w:t>Non-profit</w:t>
      </w:r>
      <w:r w:rsidR="00CE5A15">
        <w:t xml:space="preserve"> (9%)</w:t>
      </w:r>
      <w:r w:rsidR="00CE5A15" w:rsidRPr="00AB4EA4">
        <w:t>,</w:t>
      </w:r>
      <w:r w:rsidR="00CE5A15">
        <w:t xml:space="preserve"> </w:t>
      </w:r>
      <w:r w:rsidR="00CE5A15" w:rsidRPr="00AB4EA4">
        <w:t>Private Sector Business</w:t>
      </w:r>
      <w:r w:rsidR="00CE5A15">
        <w:t xml:space="preserve"> (5%)</w:t>
      </w:r>
      <w:r w:rsidR="00CE5A15" w:rsidRPr="00AB4EA4">
        <w:t xml:space="preserve">, </w:t>
      </w:r>
      <w:r w:rsidR="00AB4EA4" w:rsidRPr="00AB4EA4">
        <w:t>Local Government</w:t>
      </w:r>
      <w:r>
        <w:t xml:space="preserve"> (2%)</w:t>
      </w:r>
      <w:r w:rsidR="00AB4EA4" w:rsidRPr="00AB4EA4">
        <w:t xml:space="preserve">, and </w:t>
      </w:r>
      <w:r w:rsidR="009514AB">
        <w:t xml:space="preserve">(currently), no </w:t>
      </w:r>
      <w:r w:rsidR="00AB4EA4" w:rsidRPr="00AB4EA4">
        <w:t>Independent Practice</w:t>
      </w:r>
      <w:r w:rsidR="009514AB">
        <w:t>s</w:t>
      </w:r>
      <w:r>
        <w:t xml:space="preserve"> (</w:t>
      </w:r>
      <w:r w:rsidR="009514AB">
        <w:t>0</w:t>
      </w:r>
      <w:r>
        <w:t>%)</w:t>
      </w:r>
      <w:r w:rsidR="00AB4EA4" w:rsidRPr="00AB4EA4">
        <w:t>.</w:t>
      </w:r>
      <w:r w:rsidR="00AC027A">
        <w:t xml:space="preserve"> </w:t>
      </w:r>
      <w:r w:rsidR="00D0205E">
        <w:t xml:space="preserve">Based on the way this data is collected by both </w:t>
      </w:r>
      <w:r w:rsidR="009514AB">
        <w:t>PTCMW</w:t>
      </w:r>
      <w:r w:rsidR="00D0205E">
        <w:t xml:space="preserve"> and SIOP, only one affiliation is recorded. But, it would appear quite possible that many of our members have multiple statuses. </w:t>
      </w:r>
    </w:p>
    <w:p w14:paraId="032D50AB" w14:textId="77777777" w:rsidR="009514AB" w:rsidRDefault="009514AB" w:rsidP="00D0205E"/>
    <w:p w14:paraId="360A9FDD" w14:textId="77777777" w:rsidR="00D24127" w:rsidRDefault="00793969" w:rsidP="00793969">
      <w:pPr>
        <w:jc w:val="center"/>
      </w:pPr>
      <w:r w:rsidRPr="00793969">
        <w:rPr>
          <w:noProof/>
        </w:rPr>
        <w:drawing>
          <wp:inline distT="0" distB="0" distL="0" distR="0" wp14:anchorId="52D29F4A" wp14:editId="7535C015">
            <wp:extent cx="3444737" cy="2476500"/>
            <wp:effectExtent l="0" t="0" r="3313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ABDC207" w14:textId="77777777" w:rsidR="009514AB" w:rsidRDefault="009514AB" w:rsidP="00AB4EA4"/>
    <w:p w14:paraId="50A3C158" w14:textId="6A3F6CD9" w:rsidR="00793969" w:rsidRDefault="009514AB" w:rsidP="00AB4EA4">
      <w:r>
        <w:t>PTCMW</w:t>
      </w:r>
      <w:r w:rsidR="00793969">
        <w:t xml:space="preserve"> and SIOP’s membership are roughly comparable in terms of proportion of academic appointments. However, SIOP includes a larger proportion of private sector businesses than PTC </w:t>
      </w:r>
      <w:r w:rsidR="00793969">
        <w:lastRenderedPageBreak/>
        <w:t>(</w:t>
      </w:r>
      <w:r w:rsidR="00793969" w:rsidRPr="00B11A5F">
        <w:rPr>
          <w:i/>
        </w:rPr>
        <w:t>z</w:t>
      </w:r>
      <w:r w:rsidR="00793969" w:rsidRPr="00B11A5F">
        <w:t xml:space="preserve"> =</w:t>
      </w:r>
      <w:r w:rsidR="00793969">
        <w:t xml:space="preserve"> 6.39</w:t>
      </w:r>
      <w:r w:rsidR="00793969" w:rsidRPr="00B11A5F">
        <w:t xml:space="preserve">, </w:t>
      </w:r>
      <w:r w:rsidR="00793969" w:rsidRPr="00B11A5F">
        <w:rPr>
          <w:i/>
        </w:rPr>
        <w:t>p</w:t>
      </w:r>
      <w:r w:rsidR="00793969" w:rsidRPr="00B11A5F">
        <w:t xml:space="preserve"> &lt; .01)</w:t>
      </w:r>
      <w:r w:rsidR="00793969">
        <w:t>; and a lower proportion of consulting firms (</w:t>
      </w:r>
      <w:r w:rsidR="00793969" w:rsidRPr="00B11A5F">
        <w:rPr>
          <w:i/>
        </w:rPr>
        <w:t>z</w:t>
      </w:r>
      <w:r w:rsidR="00793969" w:rsidRPr="00B11A5F">
        <w:t xml:space="preserve"> =</w:t>
      </w:r>
      <w:r w:rsidR="00793969">
        <w:t xml:space="preserve"> -3.77</w:t>
      </w:r>
      <w:r w:rsidR="00793969" w:rsidRPr="00B11A5F">
        <w:t xml:space="preserve">, </w:t>
      </w:r>
      <w:r w:rsidR="00793969" w:rsidRPr="00B11A5F">
        <w:rPr>
          <w:i/>
        </w:rPr>
        <w:t>p</w:t>
      </w:r>
      <w:r w:rsidR="00793969" w:rsidRPr="00B11A5F">
        <w:t xml:space="preserve"> &lt; .01)</w:t>
      </w:r>
      <w:r w:rsidR="00793969">
        <w:t xml:space="preserve">. Finally, 8% of SIOP members operate an independent practice, compared to </w:t>
      </w:r>
      <w:r>
        <w:t>PTCMW</w:t>
      </w:r>
      <w:r w:rsidR="00793969">
        <w:t>’s 0% (</w:t>
      </w:r>
      <w:r w:rsidR="00793969" w:rsidRPr="00B11A5F">
        <w:rPr>
          <w:i/>
        </w:rPr>
        <w:t>z</w:t>
      </w:r>
      <w:r w:rsidR="00793969" w:rsidRPr="00B11A5F">
        <w:t xml:space="preserve"> =</w:t>
      </w:r>
      <w:r w:rsidR="00793969">
        <w:t xml:space="preserve"> 5.37</w:t>
      </w:r>
      <w:r w:rsidR="00793969" w:rsidRPr="00B11A5F">
        <w:t xml:space="preserve">, </w:t>
      </w:r>
      <w:r w:rsidR="00793969" w:rsidRPr="00B11A5F">
        <w:rPr>
          <w:i/>
        </w:rPr>
        <w:t>p</w:t>
      </w:r>
      <w:r w:rsidR="00793969" w:rsidRPr="00B11A5F">
        <w:t xml:space="preserve"> &lt; .01)</w:t>
      </w:r>
      <w:r w:rsidR="00793969">
        <w:t xml:space="preserve">. </w:t>
      </w:r>
    </w:p>
    <w:p w14:paraId="353D2190" w14:textId="74AEE969" w:rsidR="00D24127" w:rsidRDefault="00793969" w:rsidP="00AB4EA4">
      <w:r>
        <w:t xml:space="preserve">SIOP operationalized employment status by collapsing non-profit organizations, and local and federal government into “public sector organizations”. Perhaps not surprisingly, </w:t>
      </w:r>
      <w:r w:rsidR="009514AB">
        <w:t>PTCMW</w:t>
      </w:r>
      <w:r>
        <w:t xml:space="preserve"> differed from SIOP here: 31% of </w:t>
      </w:r>
      <w:r w:rsidR="009514AB">
        <w:t>PTCMW</w:t>
      </w:r>
      <w:r>
        <w:t xml:space="preserve"> members fell under public sector </w:t>
      </w:r>
      <w:r w:rsidR="009514AB">
        <w:t>organizations</w:t>
      </w:r>
      <w:r>
        <w:t xml:space="preserve"> compared to SIOP’s 13% (</w:t>
      </w:r>
      <w:r w:rsidRPr="00B11A5F">
        <w:rPr>
          <w:i/>
        </w:rPr>
        <w:t>z</w:t>
      </w:r>
      <w:r w:rsidRPr="00B11A5F">
        <w:t xml:space="preserve"> =</w:t>
      </w:r>
      <w:r>
        <w:t xml:space="preserve"> -7.67</w:t>
      </w:r>
      <w:r w:rsidRPr="00B11A5F">
        <w:t xml:space="preserve">, </w:t>
      </w:r>
      <w:r w:rsidRPr="00B11A5F">
        <w:rPr>
          <w:i/>
        </w:rPr>
        <w:t>p</w:t>
      </w:r>
      <w:r w:rsidRPr="00B11A5F">
        <w:t xml:space="preserve"> &lt; .01)</w:t>
      </w:r>
      <w:r>
        <w:t>.</w:t>
      </w:r>
    </w:p>
    <w:p w14:paraId="437E1DEC" w14:textId="77777777" w:rsidR="009514AB" w:rsidRDefault="009514AB" w:rsidP="00D0205E">
      <w:pPr>
        <w:jc w:val="center"/>
      </w:pPr>
    </w:p>
    <w:p w14:paraId="053D6DEE" w14:textId="2A20B2F5" w:rsidR="00CE5A15" w:rsidRPr="00AB4EA4" w:rsidRDefault="00793969" w:rsidP="00D0205E">
      <w:pPr>
        <w:jc w:val="center"/>
      </w:pPr>
      <w:r w:rsidRPr="00793969">
        <w:rPr>
          <w:noProof/>
        </w:rPr>
        <w:drawing>
          <wp:inline distT="0" distB="0" distL="0" distR="0" wp14:anchorId="2A16DC8B" wp14:editId="4A177E29">
            <wp:extent cx="4572000" cy="2745828"/>
            <wp:effectExtent l="19050" t="0" r="0" b="0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0AEE40F" w14:textId="69CF0FAE" w:rsidR="00AC027A" w:rsidRDefault="009514AB" w:rsidP="004F6310">
      <w:r>
        <w:t>PTCMW</w:t>
      </w:r>
      <w:r w:rsidR="00D0205E">
        <w:t xml:space="preserve"> is continually striving to better understand our unique members’ needs and support the local I/O Psychology community. </w:t>
      </w:r>
      <w:r w:rsidR="00AC027A">
        <w:t xml:space="preserve">To supplement this data in the future, keep an eye out for our upcoming membership survey. </w:t>
      </w:r>
      <w:r w:rsidR="00D0205E">
        <w:t xml:space="preserve">Curious about other </w:t>
      </w:r>
      <w:r w:rsidR="00AC027A">
        <w:t xml:space="preserve">demographics </w:t>
      </w:r>
      <w:r w:rsidR="00D0205E">
        <w:t xml:space="preserve">of </w:t>
      </w:r>
      <w:r>
        <w:t>PTCMW</w:t>
      </w:r>
      <w:r w:rsidR="00AC027A">
        <w:t xml:space="preserve">’s </w:t>
      </w:r>
      <w:r w:rsidR="00D0205E">
        <w:t>members</w:t>
      </w:r>
      <w:r w:rsidR="00AC027A">
        <w:t xml:space="preserve">? </w:t>
      </w:r>
      <w:r w:rsidR="00A0679B">
        <w:t xml:space="preserve">Let us know, and email </w:t>
      </w:r>
      <w:hyperlink r:id="rId11" w:history="1">
        <w:r w:rsidR="00D0205E" w:rsidRPr="00D0205E">
          <w:rPr>
            <w:rStyle w:val="Hyperlink"/>
          </w:rPr>
          <w:t>membership.ptcmw@gmail.com</w:t>
        </w:r>
      </w:hyperlink>
      <w:r w:rsidR="00D0205E">
        <w:t>.</w:t>
      </w:r>
    </w:p>
    <w:p w14:paraId="706FC772" w14:textId="77777777" w:rsidR="00F717C3" w:rsidRPr="00F717C3" w:rsidRDefault="00F717C3" w:rsidP="004F6310">
      <w:pPr>
        <w:rPr>
          <w:i/>
        </w:rPr>
      </w:pPr>
      <w:r w:rsidRPr="00F717C3">
        <w:rPr>
          <w:i/>
        </w:rPr>
        <w:t>Footnotes</w:t>
      </w:r>
    </w:p>
    <w:p w14:paraId="0B4362DE" w14:textId="77777777" w:rsidR="00494861" w:rsidRPr="004F6310" w:rsidRDefault="00494861" w:rsidP="00494861">
      <w:r>
        <w:rPr>
          <w:vertAlign w:val="superscript"/>
        </w:rPr>
        <w:t xml:space="preserve">1 </w:t>
      </w:r>
      <w:r>
        <w:t>Are you serious? We do not need to run that statistic, Reviewer 2.</w:t>
      </w:r>
    </w:p>
    <w:p w14:paraId="33349B44" w14:textId="77777777" w:rsidR="00494861" w:rsidRPr="004F6310" w:rsidRDefault="00494861">
      <w:r>
        <w:rPr>
          <w:vertAlign w:val="superscript"/>
        </w:rPr>
        <w:t>2</w:t>
      </w:r>
      <w:r w:rsidR="00A203D2">
        <w:t xml:space="preserve"> </w:t>
      </w:r>
      <w:r w:rsidR="00206089">
        <w:rPr>
          <w:i/>
        </w:rPr>
        <w:t>Query</w:t>
      </w:r>
      <w:r w:rsidR="00206089">
        <w:t>:</w:t>
      </w:r>
      <w:r w:rsidR="00ED7056">
        <w:t xml:space="preserve"> </w:t>
      </w:r>
      <w:r w:rsidR="00206089">
        <w:t>Is there a unique regional second-person plural pronoun in the S</w:t>
      </w:r>
      <w:r w:rsidR="00ED7056">
        <w:t xml:space="preserve">outhwest? </w:t>
      </w:r>
    </w:p>
    <w:sectPr w:rsidR="00494861" w:rsidRPr="004F6310" w:rsidSect="00A66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26DD7" w14:textId="77777777" w:rsidR="00B23525" w:rsidRDefault="00B23525" w:rsidP="009514AB">
      <w:pPr>
        <w:spacing w:after="0" w:line="240" w:lineRule="auto"/>
      </w:pPr>
      <w:r>
        <w:separator/>
      </w:r>
    </w:p>
  </w:endnote>
  <w:endnote w:type="continuationSeparator" w:id="0">
    <w:p w14:paraId="6B677512" w14:textId="77777777" w:rsidR="00B23525" w:rsidRDefault="00B23525" w:rsidP="0095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C2FBD" w14:textId="77777777" w:rsidR="00B23525" w:rsidRDefault="00B23525" w:rsidP="009514AB">
      <w:pPr>
        <w:spacing w:after="0" w:line="240" w:lineRule="auto"/>
      </w:pPr>
      <w:r>
        <w:separator/>
      </w:r>
    </w:p>
  </w:footnote>
  <w:footnote w:type="continuationSeparator" w:id="0">
    <w:p w14:paraId="5AB0B990" w14:textId="77777777" w:rsidR="00B23525" w:rsidRDefault="00B23525" w:rsidP="00951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24"/>
    <w:rsid w:val="00082BAB"/>
    <w:rsid w:val="000D655F"/>
    <w:rsid w:val="000D7ECA"/>
    <w:rsid w:val="00183240"/>
    <w:rsid w:val="00206089"/>
    <w:rsid w:val="00271D00"/>
    <w:rsid w:val="002E564E"/>
    <w:rsid w:val="00334C19"/>
    <w:rsid w:val="0041378B"/>
    <w:rsid w:val="00477E24"/>
    <w:rsid w:val="00494861"/>
    <w:rsid w:val="004E48FC"/>
    <w:rsid w:val="004F6310"/>
    <w:rsid w:val="006B2C7C"/>
    <w:rsid w:val="00793969"/>
    <w:rsid w:val="008B79B5"/>
    <w:rsid w:val="009514AB"/>
    <w:rsid w:val="00A0679B"/>
    <w:rsid w:val="00A203D2"/>
    <w:rsid w:val="00A6694F"/>
    <w:rsid w:val="00A70B7D"/>
    <w:rsid w:val="00AB4EA4"/>
    <w:rsid w:val="00AC027A"/>
    <w:rsid w:val="00B11A5F"/>
    <w:rsid w:val="00B23525"/>
    <w:rsid w:val="00BB1E35"/>
    <w:rsid w:val="00C76B96"/>
    <w:rsid w:val="00CE5A15"/>
    <w:rsid w:val="00D0205E"/>
    <w:rsid w:val="00D133A1"/>
    <w:rsid w:val="00D24127"/>
    <w:rsid w:val="00E07688"/>
    <w:rsid w:val="00ED7056"/>
    <w:rsid w:val="00F572EB"/>
    <w:rsid w:val="00F7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283C"/>
  <w15:docId w15:val="{E1CFE361-4C34-4102-9089-07821218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310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310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310"/>
    <w:pPr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6310"/>
    <w:rPr>
      <w:rFonts w:ascii="Times New Roman" w:hAnsi="Times New Roman" w:cs="Times New Roman"/>
      <w:b/>
      <w:sz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4F6310"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4F6310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F6310"/>
    <w:rPr>
      <w:rFonts w:ascii="Times New Roman" w:hAnsi="Times New Roman" w:cs="Times New Roman"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205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68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688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1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AB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51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AB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embership.ptcmw@gmail.com" TargetMode="Externa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w\Documents\PTC-MW\PTCMW%20Membership%20Breakdown%2012%20May%202019.xls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ndrew\Documents\PTC-MW\PTCMW%20Membership%20Breakdown%2012%20May%202019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Andrew\Documents\PTC-MW\PTCMW%20Membership%20Breakdown%2012%20May%202019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Andrew\Documents\PTC-MW\PTCMW%20Membership%20Breakdown%2012%20May%20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517279090113801E-2"/>
          <c:y val="0.18055555555555555"/>
          <c:w val="0.59027777777777779"/>
          <c:h val="0.7870370370370370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9AE-4B3C-8646-58472A1C94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681-4ED1-9D41-63544AF386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681-4ED1-9D41-63544AF3867C}"/>
              </c:ext>
            </c:extLst>
          </c:dPt>
          <c:cat>
            <c:strRef>
              <c:f>'PTC-Education'!$J$2:$J$4</c:f>
              <c:strCache>
                <c:ptCount val="3"/>
                <c:pt idx="0">
                  <c:v>Bachelor's Level</c:v>
                </c:pt>
                <c:pt idx="1">
                  <c:v>Master's Level</c:v>
                </c:pt>
                <c:pt idx="2">
                  <c:v>Doctoral Level</c:v>
                </c:pt>
              </c:strCache>
            </c:strRef>
          </c:cat>
          <c:val>
            <c:numRef>
              <c:f>'PTC-Education'!$K$2:$K$4</c:f>
              <c:numCache>
                <c:formatCode>0%</c:formatCode>
                <c:ptCount val="3"/>
                <c:pt idx="0">
                  <c:v>8.7500000000000008E-2</c:v>
                </c:pt>
                <c:pt idx="1">
                  <c:v>0.42812500000000009</c:v>
                </c:pt>
                <c:pt idx="2">
                  <c:v>0.48437500000000006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AE-4B3C-8646-58472A1C94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174868766404205"/>
          <c:y val="0.24659412365121031"/>
          <c:w val="0.3347790901137358"/>
          <c:h val="0.678107684456109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bg1">
                  <a:lumMod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275797154998525"/>
          <c:y val="0.26435761348678471"/>
          <c:w val="0.47191771762527396"/>
          <c:h val="0.6404597381010636"/>
        </c:manualLayout>
      </c:layout>
      <c:pieChart>
        <c:varyColors val="1"/>
        <c:ser>
          <c:idx val="2"/>
          <c:order val="0"/>
          <c:tx>
            <c:strRef>
              <c:f>'PTC-Location'!$I$1</c:f>
              <c:strCache>
                <c:ptCount val="1"/>
                <c:pt idx="0">
                  <c:v>Region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8A3-43AB-84D9-51FE6304C9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8A3-43AB-84D9-51FE6304C96E}"/>
              </c:ext>
            </c:extLst>
          </c:dPt>
          <c:dPt>
            <c:idx val="2"/>
            <c:bubble3D val="0"/>
            <c:explosion val="1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8A3-43AB-84D9-51FE6304C96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8A3-43AB-84D9-51FE6304C96E}"/>
              </c:ext>
            </c:extLst>
          </c:dPt>
          <c:cat>
            <c:strRef>
              <c:f>'PTC-Location'!$I$2:$I$5</c:f>
              <c:strCache>
                <c:ptCount val="4"/>
                <c:pt idx="0">
                  <c:v>Washington, DC</c:v>
                </c:pt>
                <c:pt idx="1">
                  <c:v>Maryland</c:v>
                </c:pt>
                <c:pt idx="2">
                  <c:v>Virginia</c:v>
                </c:pt>
                <c:pt idx="3">
                  <c:v>Other</c:v>
                </c:pt>
              </c:strCache>
            </c:strRef>
          </c:cat>
          <c:val>
            <c:numRef>
              <c:f>'PTC-Location'!$J$2:$J$5</c:f>
              <c:numCache>
                <c:formatCode>General</c:formatCode>
                <c:ptCount val="4"/>
                <c:pt idx="0">
                  <c:v>67</c:v>
                </c:pt>
                <c:pt idx="1">
                  <c:v>39</c:v>
                </c:pt>
                <c:pt idx="2">
                  <c:v>131</c:v>
                </c:pt>
                <c:pt idx="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8A3-43AB-84D9-51FE6304C9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8318498819665732"/>
          <c:y val="0.25555110875308179"/>
          <c:w val="0.41261951453104589"/>
          <c:h val="0.69091678146706537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928752761096049E-2"/>
          <c:y val="0.12937048253583691"/>
          <c:w val="0.60208573252471931"/>
          <c:h val="0.8374831415303855"/>
        </c:manualLayout>
      </c:layout>
      <c:pieChart>
        <c:varyColors val="1"/>
        <c:ser>
          <c:idx val="2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283-4A2E-B028-51518570E89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283-4A2E-B028-51518570E89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283-4A2E-B028-51518570E89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283-4A2E-B028-51518570E89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283-4A2E-B028-51518570E898}"/>
              </c:ext>
            </c:extLst>
          </c:dPt>
          <c:cat>
            <c:strRef>
              <c:f>'PTC-Org Status'!$E$3:$E$7</c:f>
              <c:strCache>
                <c:ptCount val="5"/>
                <c:pt idx="0">
                  <c:v>Local Government</c:v>
                </c:pt>
                <c:pt idx="1">
                  <c:v>Federal Government</c:v>
                </c:pt>
                <c:pt idx="2">
                  <c:v>Consulting Firm</c:v>
                </c:pt>
                <c:pt idx="3">
                  <c:v>Non-profit</c:v>
                </c:pt>
                <c:pt idx="4">
                  <c:v>Academia</c:v>
                </c:pt>
              </c:strCache>
            </c:strRef>
          </c:cat>
          <c:val>
            <c:numRef>
              <c:f>'PTC-Org Status'!$F$3:$F$7</c:f>
              <c:numCache>
                <c:formatCode>General</c:formatCode>
                <c:ptCount val="5"/>
                <c:pt idx="0">
                  <c:v>7</c:v>
                </c:pt>
                <c:pt idx="1">
                  <c:v>64</c:v>
                </c:pt>
                <c:pt idx="2">
                  <c:v>97</c:v>
                </c:pt>
                <c:pt idx="3">
                  <c:v>29</c:v>
                </c:pt>
                <c:pt idx="4">
                  <c:v>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283-4A2E-B028-51518570E8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182973330039595"/>
          <c:y val="0.19631397274398157"/>
          <c:w val="0.34215064894649433"/>
          <c:h val="0.79251945140821245"/>
        </c:manualLayout>
      </c:layout>
      <c:overlay val="0"/>
      <c:spPr>
        <a:noFill/>
        <a:ln w="25400">
          <a:noFill/>
        </a:ln>
      </c:spPr>
      <c:txPr>
        <a:bodyPr rot="0" vert="horz"/>
        <a:lstStyle/>
        <a:p>
          <a:pPr rtl="0">
            <a:defRPr sz="1200">
              <a:solidFill>
                <a:schemeClr val="bg1">
                  <a:lumMod val="50000"/>
                </a:schemeClr>
              </a:solidFill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502843394575726E-2"/>
          <c:y val="0.16235612718640791"/>
          <c:w val="0.89249715660542461"/>
          <c:h val="0.584142196816406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Sheet1!$A$1</c:f>
              <c:strCache>
                <c:ptCount val="1"/>
                <c:pt idx="0">
                  <c:v>SIOP Demographics (2018)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Sheet1!$A$4:$A$8</c:f>
              <c:strCache>
                <c:ptCount val="5"/>
                <c:pt idx="0">
                  <c:v>Academia</c:v>
                </c:pt>
                <c:pt idx="1">
                  <c:v>Private Sector Business</c:v>
                </c:pt>
                <c:pt idx="2">
                  <c:v>Consulting Firm</c:v>
                </c:pt>
                <c:pt idx="3">
                  <c:v>Public Sector Organization</c:v>
                </c:pt>
                <c:pt idx="4">
                  <c:v>Independent Practice</c:v>
                </c:pt>
              </c:strCache>
            </c:strRef>
          </c:cat>
          <c:val>
            <c:numRef>
              <c:f>Sheet1!$B$4:$B$8</c:f>
              <c:numCache>
                <c:formatCode>0%</c:formatCode>
                <c:ptCount val="5"/>
                <c:pt idx="0">
                  <c:v>0.38823529411764712</c:v>
                </c:pt>
                <c:pt idx="1">
                  <c:v>0.2</c:v>
                </c:pt>
                <c:pt idx="2">
                  <c:v>0.2</c:v>
                </c:pt>
                <c:pt idx="3">
                  <c:v>0.12941176470588239</c:v>
                </c:pt>
                <c:pt idx="4">
                  <c:v>8.2352941176470629E-2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11-40D8-8A35-F1E5B03137E5}"/>
            </c:ext>
          </c:extLst>
        </c:ser>
        <c:ser>
          <c:idx val="2"/>
          <c:order val="1"/>
          <c:tx>
            <c:strRef>
              <c:f>Sheet1!$F$1</c:f>
              <c:strCache>
                <c:ptCount val="1"/>
                <c:pt idx="0">
                  <c:v>PTC Demographics (2018)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prstClr val="black"/>
              </a:solidFill>
            </a:ln>
          </c:spPr>
          <c:invertIfNegative val="0"/>
          <c:val>
            <c:numRef>
              <c:f>Sheet1!$G$4:$G$8</c:f>
              <c:numCache>
                <c:formatCode>0%</c:formatCode>
                <c:ptCount val="5"/>
                <c:pt idx="0">
                  <c:v>0.34556574923547406</c:v>
                </c:pt>
                <c:pt idx="1">
                  <c:v>5.1987767584097858E-2</c:v>
                </c:pt>
                <c:pt idx="2">
                  <c:v>0.29663608562691135</c:v>
                </c:pt>
                <c:pt idx="3">
                  <c:v>0.30581039755351686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11-40D8-8A35-F1E5B03137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4361352"/>
        <c:axId val="344361744"/>
      </c:barChart>
      <c:catAx>
        <c:axId val="344361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4361744"/>
        <c:crosses val="autoZero"/>
        <c:auto val="1"/>
        <c:lblAlgn val="ctr"/>
        <c:lblOffset val="100"/>
        <c:noMultiLvlLbl val="0"/>
      </c:catAx>
      <c:valAx>
        <c:axId val="3443617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4436135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1"/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0.07292</cdr:x>
      <cdr:y>0.05208</cdr:y>
    </cdr:from>
    <cdr:to>
      <cdr:x>0.96875</cdr:x>
      <cdr:y>0.13542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66700" y="142875"/>
          <a:ext cx="32766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algn="ctr"/>
          <a:r>
            <a:rPr lang="en-US" sz="1400" b="1">
              <a:latin typeface="Times New Roman" pitchFamily="18" charset="0"/>
              <a:cs typeface="Times New Roman" pitchFamily="18" charset="0"/>
            </a:rPr>
            <a:t>Education-Level</a:t>
          </a:r>
          <a:r>
            <a:rPr lang="en-US" sz="1400" b="1" baseline="0">
              <a:latin typeface="Times New Roman" pitchFamily="18" charset="0"/>
              <a:cs typeface="Times New Roman" pitchFamily="18" charset="0"/>
            </a:rPr>
            <a:t> of PTC-MW Members</a:t>
          </a:r>
          <a:endParaRPr lang="en-US" sz="14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0.03548</cdr:x>
      <cdr:y>0.02817</cdr:y>
    </cdr:from>
    <cdr:to>
      <cdr:x>0.98294</cdr:x>
      <cdr:y>0.17571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1203" y="54001"/>
          <a:ext cx="2702718" cy="2828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200" b="1" i="0" baseline="0">
              <a:latin typeface="Times New Roman" pitchFamily="18" charset="0"/>
              <a:ea typeface="+mn-ea"/>
              <a:cs typeface="Times New Roman" pitchFamily="18" charset="0"/>
            </a:rPr>
            <a:t>Where Our PTC-MW Members Live </a:t>
          </a:r>
          <a:endParaRPr lang="en-US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pPr algn="ctr"/>
          <a:endParaRPr lang="en-US" sz="12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0.0214</cdr:x>
      <cdr:y>0.01787</cdr:y>
    </cdr:from>
    <cdr:to>
      <cdr:x>0.97596</cdr:x>
      <cdr:y>0.11037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3714" y="44253"/>
          <a:ext cx="3288195" cy="2290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400" b="1" i="0" baseline="0">
              <a:latin typeface="Times New Roman" pitchFamily="18" charset="0"/>
              <a:ea typeface="+mn-ea"/>
              <a:cs typeface="Times New Roman" pitchFamily="18" charset="0"/>
            </a:rPr>
            <a:t>Where Our PTC-MW Members Work</a:t>
          </a:r>
          <a:endParaRPr lang="en-US" sz="14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0.02155</cdr:x>
      <cdr:y>0.01435</cdr:y>
    </cdr:from>
    <cdr:to>
      <cdr:x>0.99425</cdr:x>
      <cdr:y>0.12201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8536" y="39413"/>
          <a:ext cx="4447188" cy="2956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200" b="1">
              <a:latin typeface="Times New Roman" pitchFamily="18" charset="0"/>
              <a:cs typeface="Times New Roman" pitchFamily="18" charset="0"/>
            </a:rPr>
            <a:t>Employement Status of SIOP</a:t>
          </a:r>
          <a:r>
            <a:rPr lang="en-US" sz="1200" b="1" baseline="0">
              <a:latin typeface="Times New Roman" pitchFamily="18" charset="0"/>
              <a:cs typeface="Times New Roman" pitchFamily="18" charset="0"/>
            </a:rPr>
            <a:t> and PTC-MW Members in 2018</a:t>
          </a:r>
          <a:r>
            <a:rPr lang="en-US" sz="1200" b="1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44C79-AED7-4BD1-8626-35782B46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Naber,Andrew</dc:creator>
  <cp:lastModifiedBy>Naber,Andrew</cp:lastModifiedBy>
  <cp:revision>5</cp:revision>
  <dcterms:created xsi:type="dcterms:W3CDTF">2019-05-14T16:44:00Z</dcterms:created>
  <dcterms:modified xsi:type="dcterms:W3CDTF">2019-05-14T16:45:00Z</dcterms:modified>
</cp:coreProperties>
</file>